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878" w:rsidRPr="00AD7611" w:rsidRDefault="00004878" w:rsidP="00396D01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004878" w:rsidRPr="00AD7611" w:rsidRDefault="00004878" w:rsidP="00396D01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04878" w:rsidRPr="00AD7611" w:rsidRDefault="003372DF" w:rsidP="003372DF">
      <w:pPr>
        <w:tabs>
          <w:tab w:val="left" w:pos="5985"/>
        </w:tabs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D7611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004878" w:rsidRDefault="00004878" w:rsidP="00396D01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75623" w:rsidRDefault="00275623" w:rsidP="00396D01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75623" w:rsidRPr="00AD7611" w:rsidRDefault="00275623" w:rsidP="00A72C6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055A5" w:rsidRDefault="009055A5" w:rsidP="00A72C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55A5">
        <w:rPr>
          <w:rFonts w:ascii="Times New Roman" w:hAnsi="Times New Roman" w:cs="Times New Roman"/>
          <w:sz w:val="24"/>
          <w:szCs w:val="24"/>
        </w:rPr>
        <w:t xml:space="preserve">PDCA versus rapid cycle improvement </w:t>
      </w:r>
    </w:p>
    <w:p w:rsidR="00004878" w:rsidRPr="00275623" w:rsidRDefault="00004878" w:rsidP="00A72C6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611"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:rsidR="00004878" w:rsidRDefault="00004878" w:rsidP="00A72C6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D7611">
        <w:rPr>
          <w:rFonts w:ascii="Times New Roman" w:hAnsi="Times New Roman" w:cs="Times New Roman"/>
          <w:sz w:val="24"/>
          <w:szCs w:val="24"/>
          <w:lang w:val="en-US"/>
        </w:rPr>
        <w:t>Institutional Affiliation</w:t>
      </w:r>
    </w:p>
    <w:p w:rsidR="00374A94" w:rsidRDefault="00374A94" w:rsidP="00A72C6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74A94" w:rsidRDefault="00374A94" w:rsidP="00A72C6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74A94" w:rsidRDefault="00374A94" w:rsidP="00396D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74A94" w:rsidRDefault="00374A94" w:rsidP="00396D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74A94" w:rsidRDefault="00374A94" w:rsidP="00396D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74A94" w:rsidRDefault="00374A94" w:rsidP="00396D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74A94" w:rsidRDefault="00374A94" w:rsidP="00396D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74A94" w:rsidRDefault="00374A94" w:rsidP="00396D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74A94" w:rsidRDefault="00374A94" w:rsidP="00396D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74A94" w:rsidRDefault="00374A94" w:rsidP="00396D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74A94" w:rsidRDefault="00374A94" w:rsidP="00396D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74A94" w:rsidRDefault="00374A94" w:rsidP="00AA36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74A94" w:rsidRDefault="00374A94" w:rsidP="00396D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74A94" w:rsidRDefault="00374A94" w:rsidP="00396D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74A94" w:rsidRDefault="00374A94" w:rsidP="00396D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220BD" w:rsidRPr="00275623" w:rsidRDefault="009220BD" w:rsidP="003E2DD9">
      <w:pPr>
        <w:spacing w:line="480" w:lineRule="auto"/>
        <w:rPr>
          <w:rStyle w:val="words"/>
          <w:rFonts w:ascii="Times New Roman" w:hAnsi="Times New Roman" w:cs="Times New Roman"/>
          <w:b/>
          <w:sz w:val="24"/>
          <w:szCs w:val="24"/>
        </w:rPr>
      </w:pPr>
    </w:p>
    <w:p w:rsidR="009055A5" w:rsidRPr="009055A5" w:rsidRDefault="009055A5" w:rsidP="009055A5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055A5">
        <w:rPr>
          <w:rFonts w:ascii="Times New Roman" w:hAnsi="Times New Roman" w:cs="Times New Roman"/>
          <w:sz w:val="24"/>
          <w:szCs w:val="24"/>
        </w:rPr>
        <w:t>PDCA is an acronym for plan-do-check-act. This type of improvement process was first adopted by the Japanese as they used it to improve their workstation through the use of continuous measurement a</w:t>
      </w:r>
      <w:r w:rsidR="00F96DA3">
        <w:rPr>
          <w:rFonts w:ascii="Times New Roman" w:hAnsi="Times New Roman" w:cs="Times New Roman"/>
          <w:sz w:val="24"/>
          <w:szCs w:val="24"/>
        </w:rPr>
        <w:t>ccompanied by control technique</w:t>
      </w:r>
      <w:r w:rsidR="00F96DA3">
        <w:rPr>
          <w:rFonts w:ascii="Times New Roman" w:hAnsi="Times New Roman" w:cs="Times New Roman"/>
          <w:sz w:val="24"/>
          <w:szCs w:val="24"/>
          <w:lang w:val="en-GB"/>
        </w:rPr>
        <w:t>s (</w:t>
      </w:r>
      <w:proofErr w:type="spellStart"/>
      <w:r w:rsidR="00F96DA3">
        <w:rPr>
          <w:rFonts w:ascii="Times New Roman" w:hAnsi="Times New Roman" w:cs="Times New Roman"/>
          <w:sz w:val="24"/>
          <w:szCs w:val="24"/>
          <w:lang w:val="en-GB"/>
        </w:rPr>
        <w:t>Hibi</w:t>
      </w:r>
      <w:proofErr w:type="spellEnd"/>
      <w:r w:rsidR="00F96DA3">
        <w:rPr>
          <w:rFonts w:ascii="Times New Roman" w:hAnsi="Times New Roman" w:cs="Times New Roman"/>
          <w:sz w:val="24"/>
          <w:szCs w:val="24"/>
          <w:lang w:val="en-GB"/>
        </w:rPr>
        <w:t xml:space="preserve"> et al)</w:t>
      </w:r>
      <w:r w:rsidRPr="009055A5">
        <w:rPr>
          <w:rFonts w:ascii="Times New Roman" w:hAnsi="Times New Roman" w:cs="Times New Roman"/>
          <w:sz w:val="24"/>
          <w:szCs w:val="24"/>
        </w:rPr>
        <w:t>. A good example of the PDCA improvement process is a medical clinic manager who notices that it takes an average of nine working days for phone patients to get a treatment assessment. The clinic manager writes down that” it takes an average of 9 days to be assessed which reflects only a show off 71%”. So the manager conducts a questionnaire of how the patients would like to be attended too, the requests and complains that have been documented are accommodated until a lasting solution is discovered. After four months the number of days reduces.</w:t>
      </w:r>
    </w:p>
    <w:p w:rsidR="009055A5" w:rsidRPr="009055A5" w:rsidRDefault="009055A5" w:rsidP="009055A5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055A5">
        <w:rPr>
          <w:rFonts w:ascii="Times New Roman" w:hAnsi="Times New Roman" w:cs="Times New Roman"/>
          <w:sz w:val="24"/>
          <w:szCs w:val="24"/>
        </w:rPr>
        <w:t>The second type of improvement process is the rapid cycle improvement which identifies, implements as well as measuring changes to improve a system. With this form of improvements changes as well as tests are conducted after periods of 4 months. An example project is the measures taken by healthcare facilities to tame staff resistance to workforce changes and workflow.</w:t>
      </w:r>
    </w:p>
    <w:p w:rsidR="00555F61" w:rsidRDefault="009055A5" w:rsidP="009055A5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055A5">
        <w:rPr>
          <w:rFonts w:ascii="Times New Roman" w:hAnsi="Times New Roman" w:cs="Times New Roman"/>
          <w:sz w:val="24"/>
          <w:szCs w:val="24"/>
        </w:rPr>
        <w:t>When comparing the two projects you will discover that the PDCA process is faulted for oversimplifying, its ignorance towards the “people” element and its confusing acronym</w:t>
      </w:r>
      <w:r w:rsidR="00F96DA3">
        <w:rPr>
          <w:rFonts w:ascii="Times New Roman" w:hAnsi="Times New Roman" w:cs="Times New Roman"/>
          <w:sz w:val="24"/>
          <w:szCs w:val="24"/>
          <w:lang w:val="en-GB"/>
        </w:rPr>
        <w:t>(Morgan &amp; Stewart, 2017)</w:t>
      </w:r>
      <w:r w:rsidR="00EA067F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9055A5">
        <w:rPr>
          <w:rFonts w:ascii="Times New Roman" w:hAnsi="Times New Roman" w:cs="Times New Roman"/>
          <w:sz w:val="24"/>
          <w:szCs w:val="24"/>
        </w:rPr>
        <w:t>What makes the PDCA and the rapid cycle improvement process effective is their broken down interactive framework hence making the whole process a real life experience and not just a prediction. The disadvantage of using the rapid cycle improvement include it consumes a lot of time as there is a gap of 4 months between the next change or test. However, its better than the PDCA as in this the people element is not ignored.</w:t>
      </w:r>
    </w:p>
    <w:p w:rsidR="009055A5" w:rsidRDefault="009055A5" w:rsidP="009055A5">
      <w:pPr>
        <w:spacing w:line="48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055A5" w:rsidRDefault="009055A5" w:rsidP="009055A5">
      <w:pPr>
        <w:spacing w:line="48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52769" w:rsidRDefault="00752769" w:rsidP="00752769">
      <w:pPr>
        <w:spacing w:line="48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References</w:t>
      </w:r>
    </w:p>
    <w:p w:rsidR="00752769" w:rsidRPr="007844FC" w:rsidRDefault="00752769" w:rsidP="00752769">
      <w:pPr>
        <w:spacing w:line="480" w:lineRule="auto"/>
        <w:ind w:left="709" w:hanging="709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752769">
        <w:rPr>
          <w:rFonts w:ascii="Times New Roman" w:hAnsi="Times New Roman" w:cs="Times New Roman"/>
          <w:sz w:val="24"/>
          <w:szCs w:val="24"/>
          <w:lang w:val="en-GB"/>
        </w:rPr>
        <w:t>Hibi</w:t>
      </w:r>
      <w:proofErr w:type="spellEnd"/>
      <w:r w:rsidRPr="00752769">
        <w:rPr>
          <w:rFonts w:ascii="Times New Roman" w:hAnsi="Times New Roman" w:cs="Times New Roman"/>
          <w:sz w:val="24"/>
          <w:szCs w:val="24"/>
          <w:lang w:val="en-GB"/>
        </w:rPr>
        <w:t xml:space="preserve">, S., Ina, K., </w:t>
      </w:r>
      <w:proofErr w:type="spellStart"/>
      <w:r w:rsidRPr="00752769">
        <w:rPr>
          <w:rFonts w:ascii="Times New Roman" w:hAnsi="Times New Roman" w:cs="Times New Roman"/>
          <w:sz w:val="24"/>
          <w:szCs w:val="24"/>
          <w:lang w:val="en-GB"/>
        </w:rPr>
        <w:t>Kabeya</w:t>
      </w:r>
      <w:proofErr w:type="spellEnd"/>
      <w:r w:rsidRPr="00752769">
        <w:rPr>
          <w:rFonts w:ascii="Times New Roman" w:hAnsi="Times New Roman" w:cs="Times New Roman"/>
          <w:sz w:val="24"/>
          <w:szCs w:val="24"/>
          <w:lang w:val="en-GB"/>
        </w:rPr>
        <w:t xml:space="preserve">, M., Inoue, H., </w:t>
      </w:r>
      <w:proofErr w:type="spellStart"/>
      <w:r w:rsidRPr="00752769">
        <w:rPr>
          <w:rFonts w:ascii="Times New Roman" w:hAnsi="Times New Roman" w:cs="Times New Roman"/>
          <w:sz w:val="24"/>
          <w:szCs w:val="24"/>
          <w:lang w:val="en-GB"/>
        </w:rPr>
        <w:t>Shirokawa</w:t>
      </w:r>
      <w:proofErr w:type="spellEnd"/>
      <w:r w:rsidRPr="00752769">
        <w:rPr>
          <w:rFonts w:ascii="Times New Roman" w:hAnsi="Times New Roman" w:cs="Times New Roman"/>
          <w:sz w:val="24"/>
          <w:szCs w:val="24"/>
          <w:lang w:val="en-GB"/>
        </w:rPr>
        <w:t xml:space="preserve">, Y., </w:t>
      </w:r>
      <w:proofErr w:type="spellStart"/>
      <w:r w:rsidRPr="00752769">
        <w:rPr>
          <w:rFonts w:ascii="Times New Roman" w:hAnsi="Times New Roman" w:cs="Times New Roman"/>
          <w:sz w:val="24"/>
          <w:szCs w:val="24"/>
          <w:lang w:val="en-GB"/>
        </w:rPr>
        <w:t>Nagaoka</w:t>
      </w:r>
      <w:proofErr w:type="spellEnd"/>
      <w:r w:rsidRPr="00752769">
        <w:rPr>
          <w:rFonts w:ascii="Times New Roman" w:hAnsi="Times New Roman" w:cs="Times New Roman"/>
          <w:sz w:val="24"/>
          <w:szCs w:val="24"/>
          <w:lang w:val="en-GB"/>
        </w:rPr>
        <w:t>, M</w:t>
      </w:r>
      <w:proofErr w:type="gramStart"/>
      <w:r w:rsidRPr="00752769">
        <w:rPr>
          <w:rFonts w:ascii="Times New Roman" w:hAnsi="Times New Roman" w:cs="Times New Roman"/>
          <w:sz w:val="24"/>
          <w:szCs w:val="24"/>
          <w:lang w:val="en-GB"/>
        </w:rPr>
        <w:t>., ...</w:t>
      </w:r>
      <w:proofErr w:type="gramEnd"/>
      <w:r w:rsidRPr="00752769">
        <w:rPr>
          <w:rFonts w:ascii="Times New Roman" w:hAnsi="Times New Roman" w:cs="Times New Roman"/>
          <w:sz w:val="24"/>
          <w:szCs w:val="24"/>
          <w:lang w:val="en-GB"/>
        </w:rPr>
        <w:t xml:space="preserve"> &amp; Yuasa, S. (2016). SY-2-4Quality management of cancer chemotherapy using the Plan-Do-Check-Act (PDCA) cycle method by chemotherapy team. Annals of Oncology, 27(suppl_7).</w:t>
      </w:r>
    </w:p>
    <w:p w:rsidR="00752769" w:rsidRDefault="00752769" w:rsidP="00752769">
      <w:pPr>
        <w:spacing w:line="480" w:lineRule="auto"/>
        <w:ind w:left="709" w:hanging="709"/>
        <w:rPr>
          <w:rFonts w:ascii="Times New Roman" w:hAnsi="Times New Roman" w:cs="Times New Roman"/>
          <w:sz w:val="24"/>
          <w:szCs w:val="24"/>
          <w:lang w:val="en-GB"/>
        </w:rPr>
      </w:pPr>
      <w:r w:rsidRPr="007844FC">
        <w:rPr>
          <w:rFonts w:ascii="Times New Roman" w:hAnsi="Times New Roman" w:cs="Times New Roman"/>
          <w:sz w:val="24"/>
          <w:szCs w:val="24"/>
        </w:rPr>
        <w:t>Morgan, S. D., &amp; Stewart, A. C. (2017). Continuous Improvement of Team Assignments: Using a Web</w:t>
      </w:r>
      <w:r w:rsidRPr="007844FC">
        <w:rPr>
          <w:rFonts w:ascii="Cambria Math" w:hAnsi="Cambria Math" w:cs="Cambria Math"/>
          <w:sz w:val="24"/>
          <w:szCs w:val="24"/>
        </w:rPr>
        <w:t>‐</w:t>
      </w:r>
      <w:r w:rsidRPr="007844FC">
        <w:rPr>
          <w:rFonts w:ascii="Times New Roman" w:hAnsi="Times New Roman" w:cs="Times New Roman"/>
          <w:sz w:val="24"/>
          <w:szCs w:val="24"/>
        </w:rPr>
        <w:t>Based Tool and the Plan</w:t>
      </w:r>
      <w:r w:rsidRPr="007844FC">
        <w:rPr>
          <w:rFonts w:ascii="Cambria Math" w:hAnsi="Cambria Math" w:cs="Cambria Math"/>
          <w:sz w:val="24"/>
          <w:szCs w:val="24"/>
        </w:rPr>
        <w:t>‐</w:t>
      </w:r>
      <w:r w:rsidRPr="007844FC">
        <w:rPr>
          <w:rFonts w:ascii="Times New Roman" w:hAnsi="Times New Roman" w:cs="Times New Roman"/>
          <w:sz w:val="24"/>
          <w:szCs w:val="24"/>
        </w:rPr>
        <w:t>Do</w:t>
      </w:r>
      <w:r w:rsidRPr="007844FC">
        <w:rPr>
          <w:rFonts w:ascii="Cambria Math" w:hAnsi="Cambria Math" w:cs="Cambria Math"/>
          <w:sz w:val="24"/>
          <w:szCs w:val="24"/>
        </w:rPr>
        <w:t>‐</w:t>
      </w:r>
      <w:r w:rsidRPr="007844FC">
        <w:rPr>
          <w:rFonts w:ascii="Times New Roman" w:hAnsi="Times New Roman" w:cs="Times New Roman"/>
          <w:sz w:val="24"/>
          <w:szCs w:val="24"/>
        </w:rPr>
        <w:t>Check</w:t>
      </w:r>
      <w:r w:rsidRPr="007844FC">
        <w:rPr>
          <w:rFonts w:ascii="Cambria Math" w:hAnsi="Cambria Math" w:cs="Cambria Math"/>
          <w:sz w:val="24"/>
          <w:szCs w:val="24"/>
        </w:rPr>
        <w:t>‐</w:t>
      </w:r>
      <w:r w:rsidRPr="007844FC">
        <w:rPr>
          <w:rFonts w:ascii="Times New Roman" w:hAnsi="Times New Roman" w:cs="Times New Roman"/>
          <w:sz w:val="24"/>
          <w:szCs w:val="24"/>
        </w:rPr>
        <w:t>Act Cycle in Design and Redesign. Decision Sciences Journal of Innovative Education, 15(3), 303-324.</w:t>
      </w:r>
    </w:p>
    <w:p w:rsidR="00555F61" w:rsidRDefault="00555F61" w:rsidP="00555F61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555F61" w:rsidRDefault="00555F61" w:rsidP="00555F61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555F61" w:rsidRDefault="00555F61" w:rsidP="00555F61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555F61" w:rsidRDefault="00555F61" w:rsidP="00555F61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555F61" w:rsidRDefault="00555F61" w:rsidP="00555F61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555F61" w:rsidRDefault="00555F61" w:rsidP="00555F61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555F61" w:rsidRDefault="00555F61" w:rsidP="00555F61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555F61" w:rsidRPr="00555F61" w:rsidRDefault="00555F61" w:rsidP="00555F61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55F61" w:rsidRPr="00555F61" w:rsidSect="00446039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6CF2" w:rsidRDefault="00E76CF2" w:rsidP="00004878">
      <w:pPr>
        <w:spacing w:after="0" w:line="240" w:lineRule="auto"/>
      </w:pPr>
      <w:r>
        <w:separator/>
      </w:r>
    </w:p>
  </w:endnote>
  <w:endnote w:type="continuationSeparator" w:id="0">
    <w:p w:rsidR="00E76CF2" w:rsidRDefault="00E76CF2" w:rsidP="00004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6CF2" w:rsidRDefault="00E76CF2" w:rsidP="00004878">
      <w:pPr>
        <w:spacing w:after="0" w:line="240" w:lineRule="auto"/>
      </w:pPr>
      <w:r>
        <w:separator/>
      </w:r>
    </w:p>
  </w:footnote>
  <w:footnote w:type="continuationSeparator" w:id="0">
    <w:p w:rsidR="00E76CF2" w:rsidRDefault="00E76CF2" w:rsidP="000048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3822503"/>
      <w:docPartObj>
        <w:docPartGallery w:val="Page Numbers (Top of Page)"/>
        <w:docPartUnique/>
      </w:docPartObj>
    </w:sdtPr>
    <w:sdtEndPr>
      <w:rPr>
        <w:noProof/>
      </w:rPr>
    </w:sdtEndPr>
    <w:sdtContent>
      <w:p w:rsidR="00446039" w:rsidRDefault="0044603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4ED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220BD" w:rsidRPr="00446039" w:rsidRDefault="00446039" w:rsidP="00446039">
    <w:pPr>
      <w:tabs>
        <w:tab w:val="left" w:pos="2790"/>
      </w:tabs>
      <w:spacing w:line="360" w:lineRule="auto"/>
      <w:rPr>
        <w:rFonts w:ascii="Times New Roman" w:hAnsi="Times New Roman" w:cs="Times New Roman"/>
        <w:sz w:val="24"/>
        <w:szCs w:val="24"/>
      </w:rPr>
    </w:pPr>
    <w:r w:rsidRPr="00446039">
      <w:rPr>
        <w:rFonts w:ascii="Times New Roman" w:hAnsi="Times New Roman" w:cs="Times New Roman"/>
        <w:sz w:val="24"/>
        <w:szCs w:val="24"/>
      </w:rPr>
      <w:t>PDCA VERSUS RAPID CYCLE IMPROVEMENT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6039" w:rsidRPr="00446039" w:rsidRDefault="0044603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46039">
      <w:rPr>
        <w:rFonts w:ascii="Times New Roman" w:hAnsi="Times New Roman" w:cs="Times New Roman"/>
        <w:sz w:val="24"/>
        <w:szCs w:val="24"/>
        <w:lang w:val="en-GB"/>
      </w:rPr>
      <w:t>Running Head: PDCA VERSUS RAPID CYCLE IMPROVEMENT</w:t>
    </w:r>
    <w:r w:rsidRPr="00446039">
      <w:rPr>
        <w:rFonts w:ascii="Times New Roman" w:hAnsi="Times New Roman" w:cs="Times New Roman"/>
        <w:sz w:val="24"/>
        <w:szCs w:val="24"/>
        <w:lang w:val="en-GB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20807070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4603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4603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4603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44ED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4603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66129" w:rsidRPr="00446039" w:rsidRDefault="00F66129" w:rsidP="00275623">
    <w:pPr>
      <w:spacing w:line="360" w:lineRule="auto"/>
      <w:rPr>
        <w:rFonts w:ascii="Times New Roman" w:hAnsi="Times New Roman" w:cs="Times New Roman"/>
        <w:b/>
        <w:sz w:val="24"/>
        <w:szCs w:val="24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BD7FCF"/>
    <w:multiLevelType w:val="hybridMultilevel"/>
    <w:tmpl w:val="5E5437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D02037"/>
    <w:multiLevelType w:val="hybridMultilevel"/>
    <w:tmpl w:val="193C94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69297A"/>
    <w:multiLevelType w:val="hybridMultilevel"/>
    <w:tmpl w:val="706A1D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2D00C6"/>
    <w:multiLevelType w:val="hybridMultilevel"/>
    <w:tmpl w:val="BB0C7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563896"/>
    <w:multiLevelType w:val="hybridMultilevel"/>
    <w:tmpl w:val="44AAA9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A57"/>
    <w:rsid w:val="00002D19"/>
    <w:rsid w:val="000035BB"/>
    <w:rsid w:val="00004878"/>
    <w:rsid w:val="00024554"/>
    <w:rsid w:val="000277CA"/>
    <w:rsid w:val="000B0256"/>
    <w:rsid w:val="000D66A1"/>
    <w:rsid w:val="00101ADF"/>
    <w:rsid w:val="00111CB5"/>
    <w:rsid w:val="0014137F"/>
    <w:rsid w:val="00155446"/>
    <w:rsid w:val="00176429"/>
    <w:rsid w:val="001A5762"/>
    <w:rsid w:val="002047AD"/>
    <w:rsid w:val="00225CB7"/>
    <w:rsid w:val="00255D2C"/>
    <w:rsid w:val="00275623"/>
    <w:rsid w:val="00282B7D"/>
    <w:rsid w:val="002B000E"/>
    <w:rsid w:val="002B3D43"/>
    <w:rsid w:val="002B605E"/>
    <w:rsid w:val="002D4FEE"/>
    <w:rsid w:val="003372DF"/>
    <w:rsid w:val="003479B3"/>
    <w:rsid w:val="003565DC"/>
    <w:rsid w:val="00374A94"/>
    <w:rsid w:val="00381246"/>
    <w:rsid w:val="003829FA"/>
    <w:rsid w:val="00396D01"/>
    <w:rsid w:val="003E2DD9"/>
    <w:rsid w:val="003E48E0"/>
    <w:rsid w:val="003E5A7B"/>
    <w:rsid w:val="00441016"/>
    <w:rsid w:val="00446039"/>
    <w:rsid w:val="00496A57"/>
    <w:rsid w:val="004E05F5"/>
    <w:rsid w:val="004E63FE"/>
    <w:rsid w:val="004F2587"/>
    <w:rsid w:val="00555F61"/>
    <w:rsid w:val="00560ABC"/>
    <w:rsid w:val="005D6C10"/>
    <w:rsid w:val="005E4F13"/>
    <w:rsid w:val="005E7FC6"/>
    <w:rsid w:val="005F04C0"/>
    <w:rsid w:val="00644ED3"/>
    <w:rsid w:val="00652A39"/>
    <w:rsid w:val="00667ECD"/>
    <w:rsid w:val="00675E0B"/>
    <w:rsid w:val="006A1F98"/>
    <w:rsid w:val="006D517C"/>
    <w:rsid w:val="0070097D"/>
    <w:rsid w:val="007208BF"/>
    <w:rsid w:val="00752769"/>
    <w:rsid w:val="007844FC"/>
    <w:rsid w:val="00786C61"/>
    <w:rsid w:val="007B0B2B"/>
    <w:rsid w:val="007C4F77"/>
    <w:rsid w:val="00807F05"/>
    <w:rsid w:val="00821C3D"/>
    <w:rsid w:val="00822064"/>
    <w:rsid w:val="00843B12"/>
    <w:rsid w:val="008619B6"/>
    <w:rsid w:val="00864E37"/>
    <w:rsid w:val="0087081B"/>
    <w:rsid w:val="0087730E"/>
    <w:rsid w:val="00894429"/>
    <w:rsid w:val="008A315B"/>
    <w:rsid w:val="008A4253"/>
    <w:rsid w:val="008B2A5B"/>
    <w:rsid w:val="008C7DEB"/>
    <w:rsid w:val="008E15E6"/>
    <w:rsid w:val="009055A5"/>
    <w:rsid w:val="009220BD"/>
    <w:rsid w:val="00930765"/>
    <w:rsid w:val="00931373"/>
    <w:rsid w:val="00942FC5"/>
    <w:rsid w:val="00995E1E"/>
    <w:rsid w:val="009A2FBC"/>
    <w:rsid w:val="009B161C"/>
    <w:rsid w:val="009B675D"/>
    <w:rsid w:val="009C3757"/>
    <w:rsid w:val="009F1EE4"/>
    <w:rsid w:val="009F2741"/>
    <w:rsid w:val="009F437A"/>
    <w:rsid w:val="00A62097"/>
    <w:rsid w:val="00A72C62"/>
    <w:rsid w:val="00AA2BB5"/>
    <w:rsid w:val="00AA36A9"/>
    <w:rsid w:val="00AC015B"/>
    <w:rsid w:val="00AD7611"/>
    <w:rsid w:val="00B316C2"/>
    <w:rsid w:val="00B65418"/>
    <w:rsid w:val="00B76569"/>
    <w:rsid w:val="00B8255F"/>
    <w:rsid w:val="00B8648D"/>
    <w:rsid w:val="00BA11F1"/>
    <w:rsid w:val="00BE070D"/>
    <w:rsid w:val="00BF27CF"/>
    <w:rsid w:val="00C26343"/>
    <w:rsid w:val="00C323E3"/>
    <w:rsid w:val="00D37337"/>
    <w:rsid w:val="00D62959"/>
    <w:rsid w:val="00D63511"/>
    <w:rsid w:val="00D70E75"/>
    <w:rsid w:val="00D77F20"/>
    <w:rsid w:val="00D835ED"/>
    <w:rsid w:val="00DA3B4D"/>
    <w:rsid w:val="00DA6509"/>
    <w:rsid w:val="00DB0089"/>
    <w:rsid w:val="00E54298"/>
    <w:rsid w:val="00E76CF2"/>
    <w:rsid w:val="00EA067F"/>
    <w:rsid w:val="00EC0EB1"/>
    <w:rsid w:val="00EC52FB"/>
    <w:rsid w:val="00EE7C86"/>
    <w:rsid w:val="00EF218F"/>
    <w:rsid w:val="00EF703C"/>
    <w:rsid w:val="00F474CD"/>
    <w:rsid w:val="00F523FE"/>
    <w:rsid w:val="00F658AA"/>
    <w:rsid w:val="00F66129"/>
    <w:rsid w:val="00F95C91"/>
    <w:rsid w:val="00F96DA3"/>
    <w:rsid w:val="00FB1CBB"/>
    <w:rsid w:val="00FC3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2FC4386-9295-4325-B86E-D5148C965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0B2B"/>
  </w:style>
  <w:style w:type="paragraph" w:styleId="Heading1">
    <w:name w:val="heading 1"/>
    <w:basedOn w:val="Normal"/>
    <w:next w:val="Normal"/>
    <w:link w:val="Heading1Char"/>
    <w:uiPriority w:val="9"/>
    <w:qFormat/>
    <w:rsid w:val="00560A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0A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487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4878"/>
  </w:style>
  <w:style w:type="paragraph" w:styleId="Footer">
    <w:name w:val="footer"/>
    <w:basedOn w:val="Normal"/>
    <w:link w:val="FooterChar"/>
    <w:uiPriority w:val="99"/>
    <w:unhideWhenUsed/>
    <w:rsid w:val="0000487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4878"/>
  </w:style>
  <w:style w:type="character" w:styleId="Hyperlink">
    <w:name w:val="Hyperlink"/>
    <w:basedOn w:val="DefaultParagraphFont"/>
    <w:uiPriority w:val="99"/>
    <w:unhideWhenUsed/>
    <w:rsid w:val="00BE070D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EC0EB1"/>
  </w:style>
  <w:style w:type="character" w:customStyle="1" w:styleId="words">
    <w:name w:val="words"/>
    <w:basedOn w:val="DefaultParagraphFont"/>
    <w:rsid w:val="006D517C"/>
  </w:style>
  <w:style w:type="character" w:customStyle="1" w:styleId="passivevoice">
    <w:name w:val="passivevoice"/>
    <w:basedOn w:val="DefaultParagraphFont"/>
    <w:rsid w:val="006D517C"/>
  </w:style>
  <w:style w:type="character" w:customStyle="1" w:styleId="wordchoice">
    <w:name w:val="wordchoice"/>
    <w:basedOn w:val="DefaultParagraphFont"/>
    <w:rsid w:val="006D517C"/>
  </w:style>
  <w:style w:type="character" w:customStyle="1" w:styleId="accidentallyconfused">
    <w:name w:val="accidentallyconfused"/>
    <w:basedOn w:val="DefaultParagraphFont"/>
    <w:rsid w:val="006D517C"/>
  </w:style>
  <w:style w:type="character" w:customStyle="1" w:styleId="wordorder">
    <w:name w:val="wordorder"/>
    <w:basedOn w:val="DefaultParagraphFont"/>
    <w:rsid w:val="006D517C"/>
  </w:style>
  <w:style w:type="character" w:customStyle="1" w:styleId="britishvsamerican">
    <w:name w:val="britishvsamerican"/>
    <w:basedOn w:val="DefaultParagraphFont"/>
    <w:rsid w:val="006D517C"/>
  </w:style>
  <w:style w:type="character" w:customStyle="1" w:styleId="wordiness">
    <w:name w:val="wordiness"/>
    <w:basedOn w:val="DefaultParagraphFont"/>
    <w:rsid w:val="006D517C"/>
  </w:style>
  <w:style w:type="character" w:customStyle="1" w:styleId="prepositions">
    <w:name w:val="prepositions"/>
    <w:basedOn w:val="DefaultParagraphFont"/>
    <w:rsid w:val="006D517C"/>
  </w:style>
  <w:style w:type="character" w:customStyle="1" w:styleId="fragment">
    <w:name w:val="fragment"/>
    <w:basedOn w:val="DefaultParagraphFont"/>
    <w:rsid w:val="006D517C"/>
  </w:style>
  <w:style w:type="paragraph" w:styleId="ListParagraph">
    <w:name w:val="List Paragraph"/>
    <w:basedOn w:val="Normal"/>
    <w:uiPriority w:val="34"/>
    <w:qFormat/>
    <w:rsid w:val="006D517C"/>
    <w:pPr>
      <w:ind w:left="720"/>
      <w:contextualSpacing/>
    </w:pPr>
  </w:style>
  <w:style w:type="character" w:customStyle="1" w:styleId="modif">
    <w:name w:val="modif"/>
    <w:basedOn w:val="DefaultParagraphFont"/>
    <w:rsid w:val="00EE7C86"/>
  </w:style>
  <w:style w:type="table" w:styleId="TableGrid">
    <w:name w:val="Table Grid"/>
    <w:basedOn w:val="TableNormal"/>
    <w:uiPriority w:val="39"/>
    <w:rsid w:val="00002D19"/>
    <w:pPr>
      <w:spacing w:after="0" w:line="240" w:lineRule="auto"/>
    </w:pPr>
    <w:rPr>
      <w:rFonts w:ascii="Times New Roman" w:hAnsi="Times New Roman" w:cs="Times New Roman"/>
      <w:sz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isspelled">
    <w:name w:val="misspelled"/>
    <w:basedOn w:val="DefaultParagraphFont"/>
    <w:rsid w:val="00894429"/>
  </w:style>
  <w:style w:type="character" w:customStyle="1" w:styleId="colloquial">
    <w:name w:val="colloquial"/>
    <w:basedOn w:val="DefaultParagraphFont"/>
    <w:rsid w:val="00DB0089"/>
  </w:style>
  <w:style w:type="character" w:customStyle="1" w:styleId="formatting">
    <w:name w:val="formatting"/>
    <w:basedOn w:val="DefaultParagraphFont"/>
    <w:rsid w:val="00AC015B"/>
  </w:style>
  <w:style w:type="character" w:customStyle="1" w:styleId="plagiarism">
    <w:name w:val="plagiarism"/>
    <w:basedOn w:val="DefaultParagraphFont"/>
    <w:rsid w:val="00560ABC"/>
  </w:style>
  <w:style w:type="paragraph" w:styleId="NoSpacing">
    <w:name w:val="No Spacing"/>
    <w:uiPriority w:val="1"/>
    <w:qFormat/>
    <w:rsid w:val="00560AB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60AB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60AB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xbe">
    <w:name w:val="_xbe"/>
    <w:basedOn w:val="DefaultParagraphFont"/>
    <w:rsid w:val="00374A94"/>
  </w:style>
  <w:style w:type="character" w:customStyle="1" w:styleId="basicpunct">
    <w:name w:val="basicpunct"/>
    <w:basedOn w:val="DefaultParagraphFont"/>
    <w:rsid w:val="009220BD"/>
  </w:style>
  <w:style w:type="paragraph" w:styleId="BalloonText">
    <w:name w:val="Balloon Text"/>
    <w:basedOn w:val="Normal"/>
    <w:link w:val="BalloonTextChar"/>
    <w:uiPriority w:val="99"/>
    <w:semiHidden/>
    <w:unhideWhenUsed/>
    <w:rsid w:val="003E4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8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8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Ash06</b:Tag>
    <b:SourceType>Book</b:SourceType>
    <b:Guid>{5B51C828-3575-4270-ACB2-BF9A384E0A2E}</b:Guid>
    <b:Author>
      <b:Author>
        <b:NameList>
          <b:Person>
            <b:Last>Vaidya</b:Last>
            <b:First>Ashish</b:First>
            <b:Middle>K.</b:Middle>
          </b:Person>
        </b:NameList>
      </b:Author>
    </b:Author>
    <b:Title>Globalization: Encyclopedia of Trade, Labor, and Politics</b:Title>
    <b:Year>2006</b:Year>
    <b:City>New York</b:City>
    <b:Publisher>ABC-CLIO</b:Publisher>
    <b:RefOrder>1</b:RefOrder>
  </b:Source>
  <b:Source>
    <b:Tag>Dan08</b:Tag>
    <b:SourceType>Book</b:SourceType>
    <b:Guid>{5CC9CFDE-DA57-4B6A-83F1-77E51565C283}</b:Guid>
    <b:Author>
      <b:Author>
        <b:NameList>
          <b:Person>
            <b:Last>Southwick</b:Last>
            <b:First>Daniel</b:First>
            <b:Middle>L. M: Kennedy: James D.</b:Middle>
          </b:Person>
        </b:NameList>
      </b:Author>
    </b:Author>
    <b:Title>The Political Economy of International Trade Law: Essays in Honor of Robert E. Hudec</b:Title>
    <b:Year>2008</b:Year>
    <b:City>Cambridge</b:City>
    <b:Publisher>Cambridge University Press</b:Publisher>
    <b:RefOrder>2</b:RefOrder>
  </b:Source>
  <b:Source>
    <b:Tag>Lui10</b:Tag>
    <b:SourceType>Book</b:SourceType>
    <b:Guid>{2E170285-E30E-41CC-BC03-7D74A7B46FCA}</b:Guid>
    <b:Author>
      <b:Author>
        <b:NameList>
          <b:Person>
            <b:Last>Luis Rivera-Batiz</b:Last>
            <b:First>Maria-Angels</b:First>
            <b:Middle>Oliva</b:Middle>
          </b:Person>
        </b:NameList>
      </b:Author>
    </b:Author>
    <b:Title>International Trade: Theory, Strategies, and Evidence</b:Title>
    <b:Year>2010</b:Year>
    <b:City>Oxford </b:City>
    <b:Publisher>Oxford University Press,</b:Publisher>
    <b:RefOrder>3</b:RefOrder>
  </b:Source>
  <b:Source>
    <b:Tag>Bru131</b:Tag>
    <b:SourceType>Book</b:SourceType>
    <b:Guid>{8D397B49-D257-415F-97E8-880C38E3376A}</b:Guid>
    <b:Author>
      <b:Author>
        <b:NameList>
          <b:Person>
            <b:Last>Keillor</b:Last>
            <b:First>Bruce</b:First>
            <b:Middle>D.</b:Middle>
          </b:Person>
        </b:NameList>
      </b:Author>
    </b:Author>
    <b:Title>Understanding the Global Market: Navigating the International Business Environment</b:Title>
    <b:Year>2013</b:Year>
    <b:City>California</b:City>
    <b:Publisher>ABC-CLIO</b:Publisher>
    <b:RefOrder>4</b:RefOrder>
  </b:Source>
  <b:Source>
    <b:Tag>Sak05</b:Tag>
    <b:SourceType>Book</b:SourceType>
    <b:Guid>{32153821-773A-4325-B986-52FB45119EAE}</b:Guid>
    <b:Author>
      <b:Author>
        <b:NameList>
          <b:Person>
            <b:Last>Sak Onkvisit</b:Last>
            <b:First>John</b:First>
            <b:Middle>J. Shaw</b:Middle>
          </b:Person>
        </b:NameList>
      </b:Author>
    </b:Author>
    <b:Title>International Marketing: Analysis and Strategy</b:Title>
    <b:Year>2005</b:Year>
    <b:City> Routledge</b:City>
    <b:Publisher>Psychology Press</b:Publisher>
    <b:RefOrder>5</b:RefOrder>
  </b:Source>
  <b:Source>
    <b:Tag>Jam05</b:Tag>
    <b:SourceType>Book</b:SourceType>
    <b:Guid>{99EE34B0-C7C1-4AC9-AD15-ADB1D13E60FA}</b:Guid>
    <b:Author>
      <b:Author>
        <b:NameList>
          <b:Person>
            <b:Last>Tompkins</b:Last>
            <b:First>James</b:First>
            <b:Middle>A.</b:Middle>
          </b:Person>
          <b:Person>
            <b:Last>Upchurc</b:Last>
            <b:First>Steven</b:First>
            <b:Middle>W: Simonson: Bruce W: Tompkins: Brian E.</b:Middle>
          </b:Person>
        </b:NameList>
      </b:Author>
    </b:Author>
    <b:Title>Logistics and Manufacturing Outsourcing: Harness Your Core Competencies</b:Title>
    <b:Year>2005</b:Year>
    <b:City>New York </b:City>
    <b:Publisher>Tompkins Press</b:Publisher>
    <b:RefOrder>6</b:RefOrder>
  </b:Source>
  <b:Source>
    <b:Tag>Mas12</b:Tag>
    <b:SourceType>Book</b:SourceType>
    <b:Guid>{770D1E8A-4E87-4CC8-B0DB-792FC4B1E756}</b:Guid>
    <b:Author>
      <b:Author>
        <b:NameList>
          <b:Person>
            <b:Last>Kotabe</b:Last>
            <b:First>Masaaki</b:First>
          </b:Person>
        </b:NameList>
      </b:Author>
    </b:Author>
    <b:Title>Global Sourcing Strategy: R&amp;D, Manufacturing, and Marketing Interfaces</b:Title>
    <b:Year>2012</b:Year>
    <b:City>California</b:City>
    <b:Publisher>Quorum Books</b:Publisher>
    <b:RefOrder>7</b:RefOrder>
  </b:Source>
  <b:Source>
    <b:Tag>Ric11</b:Tag>
    <b:SourceType>Book</b:SourceType>
    <b:Guid>{59B65291-290F-47CA-9676-1668A0A94B70}</b:Guid>
    <b:Author>
      <b:Author>
        <b:NameList>
          <b:Person>
            <b:Last>Ricky Griffin</b:Last>
            <b:First>Gregory</b:First>
            <b:Middle>Moorhead</b:Middle>
          </b:Person>
        </b:NameList>
      </b:Author>
    </b:Author>
    <b:Title>Organizational Behavior</b:Title>
    <b:Year>2011</b:Year>
    <b:City>Boston</b:City>
    <b:Publisher>Cengage Learning</b:Publisher>
    <b:RefOrder>8</b:RefOrder>
  </b:Source>
  <b:Source>
    <b:Tag>Jan11</b:Tag>
    <b:SourceType>Book</b:SourceType>
    <b:Guid>{CBC9CD79-C3C0-40B5-81EF-82F561AEF90B}</b:Guid>
    <b:Author>
      <b:Author>
        <b:NameList>
          <b:Person>
            <b:Last>Morrison</b:Last>
            <b:First>Janet</b:First>
          </b:Person>
        </b:NameList>
      </b:Author>
    </b:Author>
    <b:Title>The Global Business Environment: Meeting the Challenges</b:Title>
    <b:Year>2011</b:Year>
    <b:City> Basingstoke </b:City>
    <b:Publisher>Palgrave Macmillan</b:Publisher>
    <b:RefOrder>9</b:RefOrder>
  </b:Source>
  <b:Source>
    <b:Tag>Eun13</b:Tag>
    <b:SourceType>Book</b:SourceType>
    <b:Guid>{49AFAED0-46BB-4DFE-9826-C286EF32CD99}</b:Guid>
    <b:Author>
      <b:Author>
        <b:NameList>
          <b:Person>
            <b:Last>Lee</b:Last>
            <b:First>Eun</b:First>
            <b:Middle>Sup</b:Middle>
          </b:Person>
        </b:NameList>
      </b:Author>
    </b:Author>
    <b:Title>Management of International Trade</b:Title>
    <b:Year>2013</b:Year>
    <b:City>Berlin</b:City>
    <b:Publisher>Springer Science &amp; Business Media</b:Publisher>
    <b:RefOrder>10</b:RefOrder>
  </b:Source>
  <b:Source>
    <b:Tag>Rav07</b:Tag>
    <b:SourceType>Book</b:SourceType>
    <b:Guid>{23D181E8-E794-4AC2-B533-FD3C9541B441}</b:Guid>
    <b:Author>
      <b:Author>
        <b:NameList>
          <b:Person>
            <b:Last>Triandis</b:Last>
            <b:First>Ravinder</b:First>
            <b:Middle>Kumar Jain: Harry C.</b:Middle>
          </b:Person>
        </b:NameList>
      </b:Author>
    </b:Author>
    <b:Title>Management of Research and Development Organizations: Managing the Unmanageable</b:Title>
    <b:Year>2007</b:Year>
    <b:City>Hoboken </b:City>
    <b:Publisher>John Wiley &amp; Sons</b:Publisher>
    <b:RefOrder>11</b:RefOrder>
  </b:Source>
  <b:Source>
    <b:Tag>Ste13</b:Tag>
    <b:SourceType>Book</b:SourceType>
    <b:Guid>{B3F11B1A-41F5-4412-9CED-611FC969A622}</b:Guid>
    <b:Author>
      <b:Author>
        <b:NameList>
          <b:Person>
            <b:Last>Hodgett</b:Last>
            <b:First>Steven</b:First>
            <b:Middle>Altman: Enzo Valenzi" Richard M.</b:Middle>
          </b:Person>
        </b:NameList>
      </b:Author>
    </b:Author>
    <b:Title>Organizational Behavior: Theory and Practice</b:Title>
    <b:Year>2013</b:Year>
    <b:City>Elsevier</b:City>
    <b:Publisher>Elsevier</b:Publisher>
    <b:RefOrder>12</b:RefOrder>
  </b:Source>
  <b:Source>
    <b:Tag>Ela52</b:Tag>
    <b:SourceType>Book</b:SourceType>
    <b:Guid>{5E1E10E6-9E70-4D2D-9648-3F5ABBD5656A}</b:Guid>
    <b:Author>
      <b:Author>
        <b:NameList>
          <b:Person>
            <b:Last>Tatham</b:Last>
            <b:First>Elaine</b:First>
            <b:Middle>L. Tatham: Chris</b:Middle>
          </b:Person>
        </b:NameList>
      </b:Author>
    </b:Author>
    <b:Title>Customer Attitudes, Behavior, and the Impact of Communications Efforts</b:Title>
    <b:Year>2005</b:Year>
    <b:City>Boston</b:City>
    <b:Publisher>American Water Works Association</b:Publisher>
    <b:RefOrder>13</b:RefOrder>
  </b:Source>
  <b:Source>
    <b:Tag>Rob12</b:Tag>
    <b:SourceType>Book</b:SourceType>
    <b:Guid>{0D082698-0945-474F-925C-0BE637E46ACC}</b:Guid>
    <b:Author>
      <b:Author>
        <b:NameList>
          <b:Person>
            <b:Last>Hitt</b:Last>
            <b:First>Robert</b:First>
            <b:Middle>Hoskisson: Michael</b:Middle>
          </b:Person>
        </b:NameList>
      </b:Author>
    </b:Author>
    <b:Title>Competing for Advantage</b:Title>
    <b:Year>2012</b:Year>
    <b:City>Boston</b:City>
    <b:Publisher>Cengage Learning</b:Publisher>
    <b:RefOrder>14</b:RefOrder>
  </b:Source>
</b:Sources>
</file>

<file path=customXml/itemProps1.xml><?xml version="1.0" encoding="utf-8"?>
<ds:datastoreItem xmlns:ds="http://schemas.openxmlformats.org/officeDocument/2006/customXml" ds:itemID="{28713DF3-6C46-43CD-8257-373C1BF3E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355</Words>
  <Characters>2030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Lesuk</dc:creator>
  <cp:lastModifiedBy>NYAMARI</cp:lastModifiedBy>
  <cp:revision>2</cp:revision>
  <dcterms:created xsi:type="dcterms:W3CDTF">2018-09-24T20:32:00Z</dcterms:created>
  <dcterms:modified xsi:type="dcterms:W3CDTF">2018-09-24T20:32:00Z</dcterms:modified>
</cp:coreProperties>
</file>